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4589780</wp:posOffset>
                </wp:positionH>
                <wp:positionV relativeFrom="paragraph">
                  <wp:posOffset>12700</wp:posOffset>
                </wp:positionV>
                <wp:extent cx="1984375" cy="83502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4375" cy="835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ФЕДЕРАЛЬНАЯ СЛУЖБА</w:t>
                              <w:br/>
                              <w:t>ПО НАДЗОРУ В СФЕРЕ</w:t>
                              <w:br/>
                              <w:t>ОБРАЗОВАНИЯ И НАУКИ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(РОСОБРНАДЗОР)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1.39999999999998pt;margin-top:1.pt;width:156.25pt;height:65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ФЕДЕРАЛЬНАЯ СЛУЖБА</w:t>
                        <w:br/>
                        <w:t>ПО НАДЗОРУ В СФЕРЕ</w:t>
                        <w:br/>
                        <w:t>ОБРАЗОВАНИЯ И НАУКИ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(РОСОБРНАДЗОР)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МИНИСТЕРСТВО ПРОСВЕЩЕНИЯ</w:t>
        <w:br/>
        <w:t>РОССИЙСКОЙ ФЕДЕРАЦИИ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(МИНПРОСВЕЩЕНИЯ РОССИИ)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949" w:left="954" w:right="4672" w:bottom="993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 </w:t>
      </w:r>
      <w:r>
        <w:rPr>
          <w:color w:val="000000"/>
          <w:spacing w:val="0"/>
          <w:w w:val="100"/>
          <w:position w:val="0"/>
          <w:shd w:val="clear" w:color="auto" w:fill="auto"/>
        </w:rPr>
        <w:t>PJLK A 3</w:t>
      </w:r>
      <w:bookmarkEnd w:id="0"/>
      <w:bookmarkEnd w:id="1"/>
    </w:p>
    <w:p>
      <w:pPr>
        <w:pStyle w:val="Style9"/>
        <w:keepNext w:val="0"/>
        <w:keepLines w:val="0"/>
        <w:framePr w:w="859" w:h="360" w:wrap="none" w:vAnchor="text" w:hAnchor="page" w:x="3869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2021 г.</w:t>
      </w:r>
    </w:p>
    <w:p>
      <w:pPr>
        <w:widowControl w:val="0"/>
        <w:spacing w:after="637" w:line="1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636270</wp:posOffset>
            </wp:positionH>
            <wp:positionV relativeFrom="paragraph">
              <wp:posOffset>82550</wp:posOffset>
            </wp:positionV>
            <wp:extent cx="1365250" cy="32321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652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12700</wp:posOffset>
            </wp:positionV>
            <wp:extent cx="890270" cy="35369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90270" cy="353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9" w:left="954" w:right="640" w:bottom="56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84" w:after="8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1" w:left="0" w:right="0" w:bottom="108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1 Лосква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182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 Регист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</w:rPr>
        <w:t>(v: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0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утвержденивПёдинбго расписания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продолжительности проведения основного государственного экзамена</w:t>
        <w:br/>
        <w:t>по каждому учебному предмету, требований к использованию средств обучения</w:t>
        <w:br/>
        <w:t>и воспитания при его проведении в 2022 году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734" w:val="left"/>
          <w:tab w:pos="7320" w:val="left"/>
          <w:tab w:pos="955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4134), пунктом 1 и подпунктом 4.2.25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№51, ст. 7631), пунктом 1 и подпунктом 5.2.7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</w:t>
        <w:tab/>
        <w:t>№</w:t>
        <w:tab/>
        <w:t>32, ст. 5344;</w:t>
        <w:tab/>
        <w:t>2019,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№ 51, ст. 7643), приказываем: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следующее расписание проведения основного государственного экзамена (далее - ОГЭ) в 2022 году:</w:t>
      </w:r>
    </w:p>
    <w:p>
      <w:pPr>
        <w:pStyle w:val="Style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1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Для лиц, указанных в пунктах 5 и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52953) (далее - Порядок проведения ГИА):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(пятница) - иностранные языки (английский, французский, немецкий, испанский);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(суббота) - иностранные языки (английский, французский, немецкий, испанский);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(вторник) - математика;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0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(пятница) - обществознание;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0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(среда) - история, физика, биология, химия;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 июня (вторник) - биология, информатика и информационно</w:t>
        <w:softHyphen/>
        <w:t>коммуникационные технологии (ИКТ), география, химия;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(пятница) - литература, физика, информатика и информационно</w:t>
        <w:softHyphen/>
        <w:t>коммуникационные технологии (ИКТ), география;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6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(среда) - русский язык;</w:t>
      </w:r>
    </w:p>
    <w:p>
      <w:pPr>
        <w:pStyle w:val="Style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пункте 38 Порядка проведения ГИА: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21 апреля (четверг) - математика;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(понедельник) - русский язык;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(четверг) - информатика и информационно-коммуникационные технологии (ИКТ), обществознание, химия, литература;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 мая (среда) - история, биология, физика, география, иностранные языки (английский, французский, немецкий, испанский);</w:t>
      </w:r>
    </w:p>
    <w:p>
      <w:pPr>
        <w:pStyle w:val="Style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9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пунктах 37 и 42 Порядка проведения ГИА: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(среда) - математика;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(четверг) - история, биология, физика, география, иностранные языки (английский, французский, немецкий, испанский);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8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(пятница) - информатика и информационно-коммуникационные технологии (ИКТ), обществознание, химия, литература;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8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(понедельник) - русский язык;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60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(вторник) - по всем учебным предметам;</w:t>
      </w:r>
    </w:p>
    <w:p>
      <w:pPr>
        <w:pStyle w:val="Style9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1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(понедельник) - по всем учебным предметам (кроме русского языка и математики);</w:t>
      </w:r>
    </w:p>
    <w:p>
      <w:pPr>
        <w:pStyle w:val="Style9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21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(вторник) - русский язык;</w:t>
      </w:r>
    </w:p>
    <w:p>
      <w:pPr>
        <w:pStyle w:val="Style9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18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(среда) - по всем учебным предметам (кроме русского языка и математики);</w:t>
      </w:r>
    </w:p>
    <w:p>
      <w:pPr>
        <w:pStyle w:val="Style9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математика;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7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июля (пятница) - по всем учебным предметам;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7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июля (суббота) - по всем учебным предметам;</w:t>
      </w:r>
    </w:p>
    <w:p>
      <w:pPr>
        <w:pStyle w:val="Style9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(вторник) - математика;</w:t>
      </w:r>
    </w:p>
    <w:p>
      <w:pPr>
        <w:pStyle w:val="Style9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(среда) - русский язык;</w:t>
      </w:r>
    </w:p>
    <w:p>
      <w:pPr>
        <w:pStyle w:val="Style9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(четверг) - по всем учебным предметам (кроме русского языка и математики);</w:t>
      </w:r>
    </w:p>
    <w:p>
      <w:pPr>
        <w:pStyle w:val="Style9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(пятница) - по всем учебным предметам (кроме русского языка и математики);</w:t>
      </w:r>
    </w:p>
    <w:p>
      <w:pPr>
        <w:pStyle w:val="Style9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(суббота) - по всем учебным предметам;</w:t>
      </w:r>
    </w:p>
    <w:p>
      <w:pPr>
        <w:pStyle w:val="Style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пункте 76 Порядка проведения ГИА: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 сентября (понедельник) - математика;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 сентября (четверг) - русский язык;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12 сентября (понедельник) - история, биология, физика, география;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 сентября (четверг) - обществознание, химия, информатика и информационно-коммуникационные технологии (ИКТ), литература, иностранные языки (английский, французский, немецкий, испанский).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Установить, что:</w:t>
      </w:r>
    </w:p>
    <w:p>
      <w:pPr>
        <w:pStyle w:val="Style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0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ОГЭ по всем учебным предметам начинается в 10.00 по местному времени;</w:t>
      </w:r>
    </w:p>
    <w:p>
      <w:pPr>
        <w:pStyle w:val="Style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Продолжительность ОГЭ по математике, русскому языку, литературе составляет 3 часа 55 минут (235 минут); по физике, обществознанию, истории, биологии, химии - 3 часа (180 минут); по информатике и информационно</w:t>
        <w:softHyphen/>
        <w:t xml:space="preserve">коммуникационным технологиям (ИКТ), географии - 2 часа 30 минут (150 минут);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иностранным языкам (английский, французский, немецкий, испанский) (кроме раздела «Говорение») - 2 часа (120 минут); по иностранным языкам (английский, французский, немецкий, испанский) (раздел «Говорение») - 15 минут;</w:t>
      </w:r>
    </w:p>
    <w:p>
      <w:pPr>
        <w:pStyle w:val="Style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 экзаменов использует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экзаменов.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русскому языку - орфографический словарь, позволяющий устанавливать нормативное написание слов;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(sin, cos, tg, ctg, arcsin, arccos, arctg),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-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биологии - линейка для проведения измерений при выполнении заданий с рисунками; непрограммируемый калькулятор;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литературе -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географии -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 ОГЭ; компьютерная техника, не имеющая доступ к информационно-телекоммуникационной сети «Интернет»; аудиогарнитура для выполнения заданий раздела «Говорение» КИМ ОГЭ;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информатике и информационно-коммуникационным технологиям (ИКТ) - компьютерная техника, не имеющая доступ к информационно</w:t>
        <w:softHyphen/>
        <w:t>телекоммуникационной сети «Интернет».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1" w:left="1006" w:right="588" w:bottom="108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Признать утратившим силу приказ Министерства просвещения Российской Федерации и Федеральной службы по надзору в сфере образования и науки от 12 апреля 2021 г. № 162/471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2021 году» (зарегистрирован Министерством юстиции Российской Федерации 23 апреля 2021 г., регистрационный № 63222).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79" w:left="0" w:right="0" w:bottom="6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2813" w:h="365" w:wrap="none" w:vAnchor="text" w:hAnchor="page" w:x="10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Министр просвещения</w:t>
      </w:r>
    </w:p>
    <w:p>
      <w:pPr>
        <w:pStyle w:val="Style17"/>
        <w:keepNext w:val="0"/>
        <w:keepLines w:val="0"/>
        <w:framePr w:w="1661" w:h="365" w:wrap="none" w:vAnchor="text" w:hAnchor="page" w:x="2714" w:y="1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С.С. Кравцов</w:t>
      </w:r>
    </w:p>
    <w:p>
      <w:pPr>
        <w:pStyle w:val="Style17"/>
        <w:keepNext w:val="0"/>
        <w:keepLines w:val="0"/>
        <w:framePr w:w="1584" w:h="346" w:wrap="none" w:vAnchor="text" w:hAnchor="page" w:x="2296" w:y="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й Федерации</w:t>
      </w:r>
    </w:p>
    <w:p>
      <w:pPr>
        <w:pStyle w:val="Style9"/>
        <w:keepNext w:val="0"/>
        <w:keepLines w:val="0"/>
        <w:framePr w:w="3374" w:h="696" w:wrap="none" w:vAnchor="text" w:hAnchor="page" w:x="706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Федеральной службы по надзору</w:t>
      </w:r>
    </w:p>
    <w:p>
      <w:pPr>
        <w:pStyle w:val="Style17"/>
        <w:keepNext w:val="0"/>
        <w:keepLines w:val="0"/>
        <w:framePr w:w="2275" w:h="1013" w:wrap="none" w:vAnchor="text" w:hAnchor="page" w:x="8727" w:y="73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ования и науки</w:t>
      </w:r>
    </w:p>
    <w:p>
      <w:pPr>
        <w:pStyle w:val="Style17"/>
        <w:keepNext w:val="0"/>
        <w:keepLines w:val="0"/>
        <w:framePr w:w="2275" w:h="1013" w:wrap="none" w:vAnchor="text" w:hAnchor="page" w:x="8727" w:y="731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■* А.А. Музаев</w:t>
      </w:r>
    </w:p>
    <w:p>
      <w:pPr>
        <w:widowControl w:val="0"/>
        <w:spacing w:line="360" w:lineRule="exact"/>
      </w:pPr>
      <w:r>
        <w:drawing>
          <wp:anchor distT="0" distB="0" distL="0" distR="1319530" simplePos="0" relativeHeight="62914698" behindDoc="1" locked="0" layoutInCell="1" allowOverlap="1">
            <wp:simplePos x="0" y="0"/>
            <wp:positionH relativeFrom="page">
              <wp:posOffset>664845</wp:posOffset>
            </wp:positionH>
            <wp:positionV relativeFrom="paragraph">
              <wp:posOffset>250190</wp:posOffset>
            </wp:positionV>
            <wp:extent cx="792480" cy="111569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792480" cy="11156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65430" distB="0" distL="113030" distR="76200" simplePos="0" relativeHeight="62914699" behindDoc="1" locked="0" layoutInCell="1" allowOverlap="1">
            <wp:simplePos x="0" y="0"/>
            <wp:positionH relativeFrom="page">
              <wp:posOffset>1570355</wp:posOffset>
            </wp:positionH>
            <wp:positionV relativeFrom="paragraph">
              <wp:posOffset>506095</wp:posOffset>
            </wp:positionV>
            <wp:extent cx="816610" cy="23177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816610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1444625" simplePos="0" relativeHeight="62914700" behindDoc="1" locked="0" layoutInCell="1" allowOverlap="1">
            <wp:simplePos x="0" y="0"/>
            <wp:positionH relativeFrom="page">
              <wp:posOffset>4358640</wp:posOffset>
            </wp:positionH>
            <wp:positionV relativeFrom="paragraph">
              <wp:posOffset>463550</wp:posOffset>
            </wp:positionV>
            <wp:extent cx="1182370" cy="106680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182370" cy="1066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779" w:left="1012" w:right="596" w:bottom="69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10306685</wp:posOffset>
              </wp:positionV>
              <wp:extent cx="1791970" cy="1003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19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ru-RU" w:eastAsia="ru-RU" w:bidi="ru-RU"/>
                            </w:rPr>
                            <w:t>Об утверждении единого расписания - 03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.950000000000003pt;margin-top:811.54999999999995pt;width:141.09999999999999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ru-RU" w:eastAsia="ru-RU" w:bidi="ru-RU"/>
                      </w:rPr>
                      <w:t>Об утверждении единого расписания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645795</wp:posOffset>
              </wp:positionH>
              <wp:positionV relativeFrom="page">
                <wp:posOffset>10271125</wp:posOffset>
              </wp:positionV>
              <wp:extent cx="1791970" cy="1003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19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ru-RU" w:eastAsia="ru-RU" w:bidi="ru-RU"/>
                            </w:rPr>
                            <w:t>Об утверждении единого расписания - 03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0.850000000000001pt;margin-top:808.75pt;width:141.09999999999999pt;height:7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ru-RU" w:eastAsia="ru-RU" w:bidi="ru-RU"/>
                      </w:rPr>
                      <w:t>Об утверждении единого расписания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3878580</wp:posOffset>
              </wp:positionH>
              <wp:positionV relativeFrom="page">
                <wp:posOffset>306705</wp:posOffset>
              </wp:positionV>
              <wp:extent cx="67310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1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5.39999999999998pt;margin-top:24.149999999999999pt;width:5.2999999999999998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24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2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5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2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Заголовок №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CharStyle10">
    <w:name w:val="Основной текст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Основной текст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18">
    <w:name w:val="Подпись к картинке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right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paragraph" w:customStyle="1" w:styleId="Style9">
    <w:name w:val="Основной текст"/>
    <w:basedOn w:val="Normal"/>
    <w:link w:val="CharStyle10"/>
    <w:pPr>
      <w:widowControl w:val="0"/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Основной текст (3)"/>
    <w:basedOn w:val="Normal"/>
    <w:link w:val="CharStyle14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Style17">
    <w:name w:val="Подпись к картинке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1.png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2.png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3.png" TargetMode="External"/><Relationship Id="rId15" Type="http://schemas.openxmlformats.org/officeDocument/2006/relationships/image" Target="media/image4.png"/><Relationship Id="rId16" Type="http://schemas.openxmlformats.org/officeDocument/2006/relationships/image" Target="media/image4.png" TargetMode="External"/><Relationship Id="rId17" Type="http://schemas.openxmlformats.org/officeDocument/2006/relationships/image" Target="media/image5.png"/><Relationship Id="rId18" Type="http://schemas.openxmlformats.org/officeDocument/2006/relationships/image" Target="media/image5.png" TargetMode="External"/></Relationships>
</file>