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4598035</wp:posOffset>
                </wp:positionH>
                <wp:positionV relativeFrom="paragraph">
                  <wp:posOffset>12700</wp:posOffset>
                </wp:positionV>
                <wp:extent cx="1990090" cy="5638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0090" cy="563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ФЕДЕРАЛЬНАЯ СЛУЖБА ПО НАДЗОРУ В СФЕРЕ ОБРАЗОВАНИЯ И НАУКИ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2.05000000000001pt;margin-top:1.pt;width:156.69999999999999pt;height:44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ФЕДЕРАЛЬНАЯ СЛУЖБА ПО НАДЗОРУ В СФЕРЕ ОБРАЗОВАНИЯ И НАУКИ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4887595</wp:posOffset>
                </wp:positionH>
                <wp:positionV relativeFrom="paragraph">
                  <wp:posOffset>633730</wp:posOffset>
                </wp:positionV>
                <wp:extent cx="1402080" cy="20447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208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(РОСОБРНАДЗОР)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4.85000000000002pt;margin-top:49.899999999999999pt;width:110.40000000000001pt;height:16.1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(РОСОБРНАДЗОР)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МИНИСТЕРСТВО ПРОСВЕЩЕНИЯ</w:t>
        <w:br/>
        <w:t>РОССИЙСКОЙ ФЕДЕРАЦИИ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965" w:left="1227" w:right="6463" w:bottom="1021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(МИНПРОСВЕЩЕНИЯ РОССИИ)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5" w:left="0" w:right="0" w:bottom="5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869" w:h="360" w:wrap="none" w:vAnchor="text" w:hAnchor="page" w:x="3882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2021 г.</w:t>
      </w:r>
    </w:p>
    <w:p>
      <w:pPr>
        <w:pStyle w:val="Style9"/>
        <w:keepNext/>
        <w:keepLines/>
        <w:framePr w:w="1483" w:h="475" w:wrap="none" w:vAnchor="text" w:hAnchor="page" w:x="578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ИК АЗ</w:t>
      </w:r>
      <w:bookmarkEnd w:id="0"/>
      <w:bookmarkEnd w:id="1"/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5" w:left="992" w:right="617" w:bottom="5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-X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утверяедении^диного расписания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продолжительности проведения государственного выпускного экзамена</w:t>
        <w:br/>
        <w:t>по образовательным программам основного общего и среднего общего</w:t>
        <w:br/>
        <w:t>образования по каждому учебному предмету, требований к использованию</w:t>
        <w:br/>
        <w:t>средств обучения и воспитания при его проведении в 2022 году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739" w:val="left"/>
          <w:tab w:pos="7325" w:val="left"/>
          <w:tab w:pos="9562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4134), пунктом 1 и подпунктом 4.2.25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пунктом 1 и подпунктом 5.2.7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</w:t>
        <w:tab/>
        <w:t>№</w:t>
        <w:tab/>
        <w:t>32, ст. 5344;</w:t>
        <w:tab/>
        <w:t>2019,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№ 51, ст. 7643), приказываем: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86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2022 году: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86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Для лиц, указанных в подпункте «б» пункта 6 Порядка проведения государственной итоговой аттестации по образовательным программам основного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10 декабря 2018 г., регистрационный № 52953) (далее - Порядок проведения ГИА-9):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(пятница) - иностранные языки (английский, французский, немецкий, испанский);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(суббота) - иностранные языки (английский, французский, немецкий, испанский);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(вторник)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1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(пятница) - обществознание;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0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(среда) - история, физика, биология, химия;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0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(вторник) - биология, информатика и информационно</w:t>
        <w:softHyphen/>
        <w:t>коммуникационные технологии (ИКТ), география, химия;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7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(пятница) - литература, физика, информатика и информационно</w:t>
        <w:softHyphen/>
        <w:t>коммуникационные технологии (ИКТ), география;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7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(среда) - русский язык;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пункте 38 Порядка проведения ГИА-9: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21 апреля (четверг)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(понедельник)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8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(четверг) - информатика и информационно-коммуникационные технологии (ИКТ), обществознание, химия, литература;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10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(среда) - история, биология, физика, география, иностранные языки (английский, французский, немецкий, испанский);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99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пунктах 37 и 42 Порядка проведения ГИА-9: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(среда)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7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(четверг) - история, биология, физика, география, иностранные языки (английский, французский, немецкий, испанский);</w:t>
      </w:r>
    </w:p>
    <w:p>
      <w:pPr>
        <w:pStyle w:val="Style7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(пятница) - информатика и информационно-коммуникационные технологии (ИКТ), обществознание, химия, литература;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8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(понедельник)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20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(вторник) - по всем учебным предметам;</w:t>
      </w:r>
    </w:p>
    <w:p>
      <w:pPr>
        <w:pStyle w:val="Style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(понедельник) - по всем учебным предметам (кроме русского языка и математики);</w:t>
      </w:r>
    </w:p>
    <w:p>
      <w:pPr>
        <w:pStyle w:val="Style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22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(вторник)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(среда) - по всем учебным предметам (кроме русского языка и математики);</w:t>
      </w:r>
    </w:p>
    <w:p>
      <w:pPr>
        <w:pStyle w:val="Style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22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91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июля (пятница) - по всем учебным предметам;</w:t>
      </w:r>
    </w:p>
    <w:p>
      <w:pPr>
        <w:pStyle w:val="Style7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91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июля (суббота) - по всем учебным предметам;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3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(вторник)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3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(среда)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17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(четверг) - по всем учебным предметам (кроме русского языка и математики);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18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(пятница) - по всем учебным предметам (кроме русского языка и математики);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3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(суббота) - по всем учебным предметам;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пункте 76 Порядка проведения ГИА-9: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91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(пятница)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91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(четверг) - русский язык;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12 сентября (понедельник) - история, биология, физика, география;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 сентября (четверг) = обществознание, химия, информатика и информационно-коммуникационные технологии (ИКТ), литература, иностранные языки (английский, французский, немецкий, испанский).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0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2022 году: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23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Для лиц, указанных в подпункте «б» пункта 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Министерством юстиции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Российской Федерации 10 декабря 2018 г., регистрационный № 52952) (д алее - Порядок проведения ГИА-11):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(четверг) - география, литература, химия;</w:t>
      </w:r>
    </w:p>
    <w:p>
      <w:pPr>
        <w:pStyle w:val="Style7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(понедельник) - русский язык;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июня (четверг)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(понедельник) - история, физика;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обществознание;</w:t>
      </w:r>
    </w:p>
    <w:p>
      <w:pPr>
        <w:pStyle w:val="Style7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(вторник) - иностранные языки (английский, французский, немецкий, испанский, китайский), биология, информатика и информационно</w:t>
        <w:softHyphen/>
        <w:t>коммуникационные технологии (ИКТ);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пункте 46 Порядка проведения ГИА-11: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21 марта (понедельник) - география, литература, химия;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 марта (четверг) - русский язык;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28 марта (понедельник)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17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марта (четверг) - иностранные языки (английский, французский, немецкий, испанский, китайский), история, физика;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 апреля (понедельник) - информатика и информационно-коммуникационные технологии (ИКТ);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(четверг) - обществознание, биология;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4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пунктах 45 и 51 Порядка проведения ГИА-11: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11 апреля (понедельник) - география, химия, литература, история;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13 апреля (среда) - иностранные языки (английский, французский, немецкий, испанский, китайский), информатика и информационно-коммуникационные технологии (ИКТ), физика, обществознание, биология;</w:t>
      </w:r>
    </w:p>
    <w:p>
      <w:pPr>
        <w:pStyle w:val="Style7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8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(пятница)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7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(понедельник)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19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18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(пятница) - география, литература, информатика и информационно</w:t>
        <w:softHyphen/>
        <w:t>коммуникационные технологии (ИКТ);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(понедельник)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74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(вторник) - иностранные языки (английский, французский, немецкий, испанский, китайский)., биология;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9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(среда) - обществознание, химия;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9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история, физика;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июля (суббота) - по всем учебным предметам;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 сентября (вторник) - математика, русский язык;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43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пункте 92 Порядка проведения ГИА-11: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 сентября (понедельник) - математика;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118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(четверг) - русский язык.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2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Установить, что: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12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ГВЭ-9 и ГВЭ-11 по всем учебным предметам начинаются в 10.00 по местному времени;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04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Продолжительность ГВЭ-9 и ГВЭ-11 по математике и русскому языку составляет 3 часа 55 минут (235 минут);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09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Продолжительность ГВЭ-9 по обществознанию, биологии и литературе составляет 3 часа (180 минут); по истории, химии, физике, географии, информатике и информационно-коммуникационным технологиям (ИКТ) - 2 часа 30 минут (150 минут); по иностранным языкам (английский, французский, немецкий, испанский) - 2 часа (120 минут).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случае, установленном пунктом 44 Порядка проведения ГИА-9, при проведении ГВЭ-9 в устной форме продолжительность подготовки ответов на вопросы экзаменационных заданий по математике и литературе составляет 1 час (60 минут); по географии - 50 минут, по информатике и информационно</w:t>
        <w:softHyphen/>
        <w:t>коммуникационным технологиям (ИКТ) - 45 минут; по русскому языку, обществознанию и физике - 40 минут; по истории, биологии, химии и иностранным языкам (английский, французский, немецкий, испанский) - 30 минут;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12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Продолжительность ГВЭ-11 по обществознанию составляет</w:t>
      </w:r>
    </w:p>
    <w:p>
      <w:pPr>
        <w:pStyle w:val="Style7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15" w:val="left"/>
          <w:tab w:pos="5558" w:val="left"/>
        </w:tabs>
        <w:bidi w:val="0"/>
        <w:spacing w:before="0" w:after="0" w:line="35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часа 55 минут (235 минут); по физике и иностранным языкам (английский, французский, немецкий, испанский) -</w:t>
        <w:tab/>
        <w:t>3 часа 30 минут (210 минут);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китайскому языку, биологии, истории и литературе - 3 часа (180 минут);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географии - 2 часа 30 минут (150 минут); по химии и информатике и информационно-коммуникационным технологиям (ИКТ) - 2 часа (120 минут).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случае, установленном пунктом 53 Порядка проведения ГИА-11, при проведении ГВЭ-11 в устной форме продолжительность подготовки ответов на вопросы экзаменационных заданий по математике, литературе, географии и физике составляет 1 час (60 минут); по биологии - 50 минут; по информатике и информационно-коммуникационным технологиям (ИКТ) - 45 минут; по русскому языку, обществознанию и истории - 40 минут; по химии, иностранным языкам (английский, французский, немецкий, испанский, китайский) - 30 минут;</w:t>
      </w:r>
    </w:p>
    <w:p>
      <w:pPr>
        <w:pStyle w:val="Style7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254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Участники ГВЭ-9 и ГВЭ-11 используют средства обучения и воспитания для выполнения текстов, тем, заданий, билетов (далее вместе - экзаменационные материалы) ГВЭ-9 и ГВЭ-11 в аудиториях пункта проведения экзаменов;</w:t>
      </w:r>
    </w:p>
    <w:p>
      <w:pPr>
        <w:pStyle w:val="Style7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450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выполнения заданий экзаменационных материалов ГВЭ-9 допускается использование участником ГВЭ-9 следующих средств обучения и воспитания по соответствующим учебным предметам: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русскому языку -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физике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(sin, cos, tg, ctg, arcsin, arccos, arctg),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- непрограммируемый калькулятор); линейка для построения графиков, оптических и электрических схем;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географии - непрограммируемый калькулятор; географические атласы для 7-9 классов для решения практических заданий;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биологии - линейка;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литературе - тексты художественных произведений, а также сборники лирики;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информатике й йнформацйонно-комМунйКацйонныМ технологиям (ИКТ) - компьютерная техника, не имеющая доступ к информационно</w:t>
        <w:softHyphen/>
        <w:t>телекоммуникационной сети «Интернет».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случае, установленном пунктом 44 Порядка проведения ГИА-9, для выполнения заданий экзаменационных материалов ГВЭ-9 в устной форме допускается использование участником ГВЭ-9 следующих средств обучения и воспитания по соответствующим учебным предметам: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географии - непрограммируемый калькулятор; географические атласы для 7-9 классов для решения практических заданий;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истории - атласы по истории России для 6-9 классов для использования картографической информации, необходимой для выполнения заданий экзаменационных материалов;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иностранным языкам - двуязычный словарь;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информатике и информационно-коммуникационным технологиям (ИКТ) - компьютерная техника, не имеющая доступ к информационно</w:t>
        <w:softHyphen/>
        <w:t>телекоммуникационной сети «Интернет».</w:t>
      </w:r>
    </w:p>
    <w:p>
      <w:pPr>
        <w:pStyle w:val="Style7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430" w:val="left"/>
        </w:tabs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выполнения заданий экзаменационных материалов ГВЭ-11 допускается использование участником ГВЭ-11 следующих средств обучения и воспитания по соответствующим учебным предметам: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русскому языку - орфографический и толковый словари для установления нормативного написания слов и определения значения лексической единицы;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географии - непрограммируемый калькулятор; географические атласы для 5-10 классов для решения практических заданий;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физике - непрограммируемый калькулятор; линейка для построения графиков, оптических и электрических схем;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случае, установленном пунктом 53 Порядка проведения ГИА-11, для выполнения заданий экзаменационных материалов ГВЭ-11 в устной форме допускается использование участником ГВЭ-11 следующих средств обучения и воспитания по соответствующим учебным предметам: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географии - непрограммируемый калькулятор; географические атласы для 5-10 классов для решения практических заданий;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и среднего общего образования;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истории - атласы по истории России для 6-11 классов для использования картографической информации, необходимой для выполнения заданий экзаменационных материалов;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иностранным языкам - двуязычный словарь;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информатике и информационно-коммуникационным технологиям (ИКТ) - компьютерная техника, не имеющая доступ к информационно</w:t>
        <w:softHyphen/>
        <w:t>телекоммуникационной сети «Интернет»;</w:t>
      </w:r>
    </w:p>
    <w:p>
      <w:pPr>
        <w:pStyle w:val="Style7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31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07" w:val="left"/>
        </w:tabs>
        <w:bidi w:val="0"/>
        <w:spacing w:before="0" w:after="1040"/>
        <w:ind w:left="0" w:right="0" w:firstLine="740"/>
        <w:jc w:val="both"/>
      </w:pPr>
      <w:r>
        <w:drawing>
          <wp:anchor distT="460375" distB="0" distL="114300" distR="114300" simplePos="0" relativeHeight="125829382" behindDoc="0" locked="0" layoutInCell="1" allowOverlap="1">
            <wp:simplePos x="0" y="0"/>
            <wp:positionH relativeFrom="page">
              <wp:posOffset>4097655</wp:posOffset>
            </wp:positionH>
            <wp:positionV relativeFrom="paragraph">
              <wp:posOffset>3482975</wp:posOffset>
            </wp:positionV>
            <wp:extent cx="2883535" cy="1212850"/>
            <wp:wrapSquare wrapText="lef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883535" cy="12128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4493895</wp:posOffset>
                </wp:positionH>
                <wp:positionV relativeFrom="paragraph">
                  <wp:posOffset>3022600</wp:posOffset>
                </wp:positionV>
                <wp:extent cx="2142490" cy="44196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2490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Федеральной службы по надзору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3.85000000000002pt;margin-top:238.pt;width:168.69999999999999pt;height:34.799999999999997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Федеральной службы по надзору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Признать утратившим силу приказ Министерства просвещения Российской Федерации и Федеральной службы по надзору в сфере образования и науки от 12 апреля 2021 г. № 163/472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2021 году» (зарегистрирован Министерством юстиции Российской Федерации 23 апреля 2021 г., регистрационный № 63221).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163" w:lineRule="atLeast"/>
        <w:ind w:left="-1060" w:right="0" w:firstLine="1060"/>
        <w:jc w:val="both"/>
      </w:pPr>
      <w: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1738630</wp:posOffset>
            </wp:positionH>
            <wp:positionV relativeFrom="paragraph">
              <wp:posOffset>266700</wp:posOffset>
            </wp:positionV>
            <wp:extent cx="908050" cy="433070"/>
            <wp:wrapTight wrapText="left">
              <wp:wrapPolygon>
                <wp:start x="16800" y="0"/>
                <wp:lineTo x="21600" y="0"/>
                <wp:lineTo x="21600" y="21600"/>
                <wp:lineTo x="0" y="21600"/>
                <wp:lineTo x="0" y="5209"/>
                <wp:lineTo x="16800" y="5209"/>
                <wp:lineTo x="16800" y="0"/>
              </wp:wrapPolygon>
            </wp:wrapTight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08050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211580" simplePos="0" relativeHeight="125829384" behindDoc="0" locked="0" layoutInCell="1" allowOverlap="1">
            <wp:simplePos x="0" y="0"/>
            <wp:positionH relativeFrom="page">
              <wp:posOffset>546735</wp:posOffset>
            </wp:positionH>
            <wp:positionV relativeFrom="paragraph">
              <wp:posOffset>368300</wp:posOffset>
            </wp:positionV>
            <wp:extent cx="1158240" cy="1109345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158240" cy="11093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1732280</wp:posOffset>
                </wp:positionH>
                <wp:positionV relativeFrom="paragraph">
                  <wp:posOffset>776605</wp:posOffset>
                </wp:positionV>
                <wp:extent cx="1069975" cy="23495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9975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С.С. Кравцов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36.40000000000001pt;margin-top:61.149999999999999pt;width:84.25pt;height:18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С.С. Кравцов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Министр просвещения </w:t>
        <w:drawing>
          <wp:inline>
            <wp:extent cx="816610" cy="48895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816610" cy="48895"/>
                    </a:xfrm>
                    <a:prstGeom prst="rect"/>
                  </pic:spPr>
                </pic:pic>
              </a:graphicData>
            </a:graphic>
          </wp:inline>
        </w:drawing>
        <w:t xml:space="preserve"> Российской /Федерации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22" w:left="1022" w:right="568" w:bottom="108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10329545</wp:posOffset>
              </wp:positionV>
              <wp:extent cx="1807210" cy="9461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072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Об утвериодении единого расписания - 03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3.600000000000001pt;margin-top:813.35000000000002pt;width:142.30000000000001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Об утвериодении единого расписания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657225</wp:posOffset>
              </wp:positionH>
              <wp:positionV relativeFrom="page">
                <wp:posOffset>10283825</wp:posOffset>
              </wp:positionV>
              <wp:extent cx="1807210" cy="1003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0721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Об утверждении единого расписания - 03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1.75pt;margin-top:809.75pt;width:142.30000000000001pt;height:7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Об утверждении единого расписания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320040</wp:posOffset>
              </wp:positionV>
              <wp:extent cx="69850" cy="1130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06.19999999999999pt;margin-top:25.199999999999999pt;width:5.5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24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2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5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4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2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2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4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6">
    <w:multiLevelType w:val="multilevel"/>
    <w:lvl w:ilvl="0">
      <w:start w:val="3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8">
    <w:multiLevelType w:val="multilevel"/>
    <w:lvl w:ilvl="0">
      <w:start w:val="23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Заголовок №1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2">
    <w:name w:val="Подпись к картинке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Основной текст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Style11">
    <w:name w:val="Подпись к картинке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Основной текст (3)"/>
    <w:basedOn w:val="Normal"/>
    <w:link w:val="CharStyle14"/>
    <w:pPr>
      <w:widowControl w:val="0"/>
      <w:shd w:val="clear" w:color="auto" w:fill="FFFFFF"/>
      <w:spacing w:after="820"/>
      <w:ind w:left="64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1.png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2.png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3.png" TargetMode="External"/><Relationship Id="rId15" Type="http://schemas.openxmlformats.org/officeDocument/2006/relationships/image" Target="media/image4.png"/><Relationship Id="rId16" Type="http://schemas.openxmlformats.org/officeDocument/2006/relationships/image" Target="media/image4.png" TargetMode="External"/></Relationships>
</file>